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</w:p>
    <w:p w:rsidR="00C2798C" w:rsidRDefault="00C2798C" w:rsidP="004C554E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CORRIGENDA</w:t>
      </w:r>
    </w:p>
    <w:p w:rsidR="004C554E" w:rsidRPr="00AD4B4D" w:rsidRDefault="004C554E" w:rsidP="004C554E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</w:p>
    <w:p w:rsidR="00C2798C" w:rsidRPr="00AD4B4D" w:rsidRDefault="00485F29" w:rsidP="00C2798C">
      <w:pPr>
        <w:ind w:right="-1"/>
        <w:jc w:val="both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TOMADA DE PREÇOS 0</w:t>
      </w:r>
      <w:r w:rsidR="00185E6D"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/22</w:t>
      </w:r>
      <w:r w:rsidR="00C2798C" w:rsidRPr="00AD4B4D">
        <w:rPr>
          <w:b/>
          <w:bCs/>
          <w:color w:val="000000"/>
          <w:sz w:val="20"/>
          <w:szCs w:val="20"/>
        </w:rPr>
        <w:t xml:space="preserve">, Processo </w:t>
      </w:r>
      <w:r w:rsidR="007351C7" w:rsidRPr="00185E6D">
        <w:rPr>
          <w:b/>
          <w:sz w:val="20"/>
          <w:szCs w:val="20"/>
        </w:rPr>
        <w:t>200/</w:t>
      </w:r>
      <w:r w:rsidR="00185E6D" w:rsidRPr="00185E6D">
        <w:rPr>
          <w:b/>
          <w:sz w:val="20"/>
          <w:szCs w:val="20"/>
        </w:rPr>
        <w:t>11716</w:t>
      </w:r>
      <w:r w:rsidR="007351C7" w:rsidRPr="00185E6D">
        <w:rPr>
          <w:b/>
          <w:sz w:val="20"/>
          <w:szCs w:val="20"/>
        </w:rPr>
        <w:t>/20</w:t>
      </w:r>
      <w:r w:rsidRPr="00185E6D">
        <w:rPr>
          <w:b/>
          <w:sz w:val="20"/>
          <w:szCs w:val="20"/>
        </w:rPr>
        <w:t>2</w:t>
      </w:r>
      <w:r w:rsidR="00185E6D" w:rsidRPr="00185E6D">
        <w:rPr>
          <w:b/>
          <w:sz w:val="20"/>
          <w:szCs w:val="20"/>
        </w:rPr>
        <w:t>1</w:t>
      </w:r>
      <w:r w:rsidR="00C2798C" w:rsidRPr="00AD4B4D">
        <w:rPr>
          <w:b/>
          <w:bCs/>
          <w:color w:val="000000"/>
          <w:sz w:val="20"/>
          <w:szCs w:val="20"/>
        </w:rPr>
        <w:t xml:space="preserve">, </w:t>
      </w:r>
      <w:r w:rsidR="00C2798C" w:rsidRPr="00AD4B4D">
        <w:rPr>
          <w:bCs/>
          <w:color w:val="000000"/>
          <w:sz w:val="20"/>
          <w:szCs w:val="20"/>
        </w:rPr>
        <w:t xml:space="preserve">referente à </w:t>
      </w:r>
      <w:bookmarkStart w:id="0" w:name="_GoBack"/>
      <w:r w:rsidR="00185E6D" w:rsidRPr="00185E6D">
        <w:rPr>
          <w:rFonts w:eastAsia="MS ??"/>
          <w:b/>
          <w:bCs/>
          <w:caps/>
          <w:sz w:val="20"/>
          <w:szCs w:val="20"/>
        </w:rPr>
        <w:t>CONTRATAÇÃO DE EMPRESA ESPECIALIZADA EM SERVIÇOS para adequações físicas e elétricas do prédio QUE ABRIGA o alcen/sapra/sepat</w:t>
      </w:r>
      <w:bookmarkEnd w:id="0"/>
      <w:r w:rsidR="00185E6D" w:rsidRPr="00AD4B4D">
        <w:rPr>
          <w:b/>
          <w:bCs/>
          <w:color w:val="000000"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>sofreu correção</w:t>
      </w:r>
      <w:r w:rsidR="00C2798C" w:rsidRPr="00AD4B4D">
        <w:rPr>
          <w:b/>
          <w:sz w:val="20"/>
          <w:szCs w:val="20"/>
        </w:rPr>
        <w:t>:</w:t>
      </w:r>
    </w:p>
    <w:p w:rsidR="00485F29" w:rsidRDefault="00485F29" w:rsidP="00C2798C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485F29" w:rsidRDefault="00485F29" w:rsidP="00C2798C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ITEM 9.3.2: EXCLUÍDO NECESSIDADE DE ENGENHEIRO MECÂNICO</w:t>
      </w:r>
      <w:r w:rsidR="00185E6D">
        <w:rPr>
          <w:b/>
          <w:sz w:val="20"/>
          <w:szCs w:val="20"/>
        </w:rPr>
        <w:t>, portanto:</w:t>
      </w:r>
    </w:p>
    <w:p w:rsidR="00485F29" w:rsidRDefault="00485F29" w:rsidP="00C2798C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C2798C" w:rsidRPr="00185E6D" w:rsidRDefault="00C2798C" w:rsidP="00185E6D">
      <w:pPr>
        <w:pStyle w:val="Corpodetexto3"/>
        <w:rPr>
          <w:rFonts w:ascii="Times New Roman" w:hAnsi="Times New Roman"/>
          <w:color w:val="auto"/>
        </w:rPr>
      </w:pPr>
      <w:r w:rsidRPr="00185E6D">
        <w:rPr>
          <w:rFonts w:ascii="Times New Roman" w:hAnsi="Times New Roman"/>
          <w:b/>
          <w:color w:val="auto"/>
        </w:rPr>
        <w:t>Onde se l</w:t>
      </w:r>
      <w:r w:rsidR="00485F29" w:rsidRPr="00185E6D">
        <w:rPr>
          <w:rFonts w:ascii="Times New Roman" w:hAnsi="Times New Roman"/>
          <w:b/>
          <w:color w:val="auto"/>
        </w:rPr>
        <w:t>ê:</w:t>
      </w:r>
      <w:r w:rsidR="00485F29" w:rsidRPr="00185E6D">
        <w:rPr>
          <w:b/>
          <w:color w:val="auto"/>
        </w:rPr>
        <w:t xml:space="preserve"> </w:t>
      </w:r>
      <w:r w:rsidR="00485F29" w:rsidRPr="00185E6D">
        <w:rPr>
          <w:rFonts w:ascii="Times New Roman" w:hAnsi="Times New Roman"/>
          <w:b/>
          <w:color w:val="auto"/>
        </w:rPr>
        <w:t>“</w:t>
      </w:r>
      <w:r w:rsidR="00185E6D" w:rsidRPr="00185E6D">
        <w:rPr>
          <w:rFonts w:ascii="Times New Roman" w:hAnsi="Times New Roman"/>
          <w:color w:val="auto"/>
        </w:rPr>
        <w:t xml:space="preserve">Prova de possuir no seu quadro permanente, na data da Tomada de Preço, </w:t>
      </w:r>
      <w:proofErr w:type="gramStart"/>
      <w:r w:rsidR="00185E6D" w:rsidRPr="00185E6D">
        <w:rPr>
          <w:rFonts w:ascii="Times New Roman" w:hAnsi="Times New Roman"/>
          <w:color w:val="auto"/>
        </w:rPr>
        <w:t>profissional ou profissionais de nível superior com formação de Engenheiro Civil ou Arquiteto e Engenheiro Mecânico</w:t>
      </w:r>
      <w:proofErr w:type="gramEnd"/>
      <w:r w:rsidR="00185E6D" w:rsidRPr="00185E6D">
        <w:rPr>
          <w:rFonts w:ascii="Times New Roman" w:hAnsi="Times New Roman"/>
          <w:color w:val="auto"/>
        </w:rPr>
        <w:t>, detentores de Certidões de Acervo Técnico (CAT) expedidas pelos respectivos conselhos profissionais (CREA ou CA</w:t>
      </w:r>
      <w:r w:rsidR="00185E6D" w:rsidRPr="00185E6D">
        <w:rPr>
          <w:rFonts w:ascii="Times New Roman" w:hAnsi="Times New Roman"/>
          <w:color w:val="auto"/>
        </w:rPr>
        <w:t>U), que comprovem ter executado</w:t>
      </w:r>
      <w:r w:rsidR="00185E6D" w:rsidRPr="00185E6D">
        <w:rPr>
          <w:rFonts w:ascii="Times New Roman" w:hAnsi="Times New Roman"/>
          <w:color w:val="auto"/>
        </w:rPr>
        <w:t xml:space="preserve"> serviços com características técnicas similares às do objeto da presente licitação, limitada esta exigência às parcelas de maior relevância</w:t>
      </w:r>
      <w:r w:rsidR="00185E6D" w:rsidRPr="00185E6D">
        <w:rPr>
          <w:rFonts w:ascii="Times New Roman" w:hAnsi="Times New Roman"/>
          <w:color w:val="auto"/>
        </w:rPr>
        <w:t>, como definidas no subitem 2.2</w:t>
      </w:r>
      <w:r w:rsidR="00485F29" w:rsidRPr="00185E6D">
        <w:rPr>
          <w:rFonts w:ascii="Times New Roman" w:hAnsi="Times New Roman"/>
          <w:color w:val="auto"/>
        </w:rPr>
        <w:t>.</w:t>
      </w:r>
      <w:r w:rsidR="004C554E" w:rsidRPr="00185E6D">
        <w:rPr>
          <w:rFonts w:ascii="Times New Roman" w:hAnsi="Times New Roman"/>
          <w:b/>
          <w:color w:val="auto"/>
        </w:rPr>
        <w:t>”</w:t>
      </w:r>
    </w:p>
    <w:p w:rsidR="00C2798C" w:rsidRPr="00AD4B4D" w:rsidRDefault="00C2798C" w:rsidP="00C2798C">
      <w:pPr>
        <w:ind w:right="-1"/>
        <w:jc w:val="both"/>
        <w:rPr>
          <w:sz w:val="20"/>
          <w:szCs w:val="20"/>
        </w:rPr>
      </w:pPr>
    </w:p>
    <w:p w:rsidR="00C2798C" w:rsidRDefault="00485F29" w:rsidP="00485F29">
      <w:pPr>
        <w:pStyle w:val="Corpodetexto3"/>
        <w:rPr>
          <w:b/>
          <w:color w:val="000000" w:themeColor="text1"/>
        </w:rPr>
      </w:pPr>
      <w:r w:rsidRPr="00485F29">
        <w:rPr>
          <w:rFonts w:ascii="Times New Roman" w:hAnsi="Times New Roman"/>
          <w:b/>
          <w:color w:val="auto"/>
        </w:rPr>
        <w:t>Leia-se:</w:t>
      </w:r>
      <w:r>
        <w:rPr>
          <w:b/>
        </w:rPr>
        <w:t xml:space="preserve"> </w:t>
      </w:r>
      <w:r w:rsidRPr="00485F29">
        <w:rPr>
          <w:b/>
          <w:color w:val="auto"/>
        </w:rPr>
        <w:t>“</w:t>
      </w:r>
      <w:r w:rsidR="00185E6D" w:rsidRPr="00185E6D">
        <w:rPr>
          <w:rFonts w:ascii="Times New Roman" w:hAnsi="Times New Roman"/>
          <w:color w:val="auto"/>
        </w:rPr>
        <w:t xml:space="preserve">Prova de possuir no seu quadro permanente, na data da Tomada de Preço, </w:t>
      </w:r>
      <w:proofErr w:type="gramStart"/>
      <w:r w:rsidR="00185E6D" w:rsidRPr="00185E6D">
        <w:rPr>
          <w:rFonts w:ascii="Times New Roman" w:hAnsi="Times New Roman"/>
          <w:color w:val="auto"/>
        </w:rPr>
        <w:t>profissional ou profissionais de nível superior com formação de Engenheiro Civil ou Arquiteto</w:t>
      </w:r>
      <w:proofErr w:type="gramEnd"/>
      <w:r w:rsidR="00185E6D" w:rsidRPr="00185E6D">
        <w:rPr>
          <w:rFonts w:ascii="Times New Roman" w:hAnsi="Times New Roman"/>
          <w:color w:val="auto"/>
        </w:rPr>
        <w:t>, detentores de Certidões de Acervo Técnico (CAT) expedidas pelos respectivos conselhos profissionais (CREA ou CA</w:t>
      </w:r>
      <w:r w:rsidR="00185E6D" w:rsidRPr="00185E6D">
        <w:rPr>
          <w:rFonts w:ascii="Times New Roman" w:hAnsi="Times New Roman"/>
          <w:color w:val="auto"/>
        </w:rPr>
        <w:t>U), que comprovem ter executado</w:t>
      </w:r>
      <w:r w:rsidR="00185E6D" w:rsidRPr="00185E6D">
        <w:rPr>
          <w:rFonts w:ascii="Times New Roman" w:hAnsi="Times New Roman"/>
          <w:color w:val="auto"/>
        </w:rPr>
        <w:t xml:space="preserve"> serviços com características técnicas similares às do objeto da presente licitação, limitada esta exigência às parcelas de maior relevância, como definidas no subitem 2.2.</w:t>
      </w:r>
      <w:r w:rsidR="00185E6D" w:rsidRPr="00185E6D">
        <w:rPr>
          <w:rFonts w:ascii="Times New Roman" w:hAnsi="Times New Roman"/>
          <w:b/>
          <w:color w:val="auto"/>
        </w:rPr>
        <w:t>”</w:t>
      </w:r>
    </w:p>
    <w:p w:rsidR="004C554E" w:rsidRPr="00AD4B4D" w:rsidRDefault="004C554E" w:rsidP="004C554E">
      <w:pPr>
        <w:widowControl w:val="0"/>
        <w:overflowPunct w:val="0"/>
        <w:adjustRightInd w:val="0"/>
        <w:jc w:val="both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  <w:r w:rsidRPr="00AD4B4D">
        <w:rPr>
          <w:b/>
          <w:color w:val="000000"/>
          <w:sz w:val="20"/>
          <w:szCs w:val="20"/>
        </w:rPr>
        <w:t>As demais condições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2F1350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C"/>
    <w:rsid w:val="000A40C6"/>
    <w:rsid w:val="00185E6D"/>
    <w:rsid w:val="00250E85"/>
    <w:rsid w:val="002F1350"/>
    <w:rsid w:val="00485F29"/>
    <w:rsid w:val="004C554E"/>
    <w:rsid w:val="006E3207"/>
    <w:rsid w:val="007351C7"/>
    <w:rsid w:val="00777179"/>
    <w:rsid w:val="007D20AE"/>
    <w:rsid w:val="00814C0F"/>
    <w:rsid w:val="00C2798C"/>
    <w:rsid w:val="00FE2CE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485F29"/>
    <w:pPr>
      <w:jc w:val="both"/>
    </w:pPr>
    <w:rPr>
      <w:rFonts w:ascii="Arial" w:eastAsia="MS ??" w:hAnsi="Arial"/>
      <w:snapToGrid w:val="0"/>
      <w:color w:val="FF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85F29"/>
    <w:rPr>
      <w:rFonts w:ascii="Arial" w:eastAsia="MS ??" w:hAnsi="Arial" w:cs="Times New Roman"/>
      <w:snapToGrid w:val="0"/>
      <w:color w:val="FF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485F29"/>
    <w:pPr>
      <w:jc w:val="both"/>
    </w:pPr>
    <w:rPr>
      <w:rFonts w:ascii="Arial" w:eastAsia="MS ??" w:hAnsi="Arial"/>
      <w:snapToGrid w:val="0"/>
      <w:color w:val="FF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85F29"/>
    <w:rPr>
      <w:rFonts w:ascii="Arial" w:eastAsia="MS ??" w:hAnsi="Arial" w:cs="Times New Roman"/>
      <w:snapToGrid w:val="0"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CPL</cp:lastModifiedBy>
  <cp:revision>2</cp:revision>
  <cp:lastPrinted>2019-07-08T13:57:00Z</cp:lastPrinted>
  <dcterms:created xsi:type="dcterms:W3CDTF">2022-12-07T19:18:00Z</dcterms:created>
  <dcterms:modified xsi:type="dcterms:W3CDTF">2022-12-07T19:18:00Z</dcterms:modified>
</cp:coreProperties>
</file>